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41" w:rightFromText="141" w:vertAnchor="text" w:tblpY="1"/>
        <w:tblOverlap w:val="never"/>
        <w:tblW w:w="10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504"/>
        <w:gridCol w:w="3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148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28"/>
              <w:numPr>
                <w:ilvl w:val="0"/>
                <w:numId w:val="1"/>
              </w:numPr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8"/>
              <w:spacing w:line="300" w:lineRule="exact"/>
              <w:jc w:val="center"/>
              <w:rPr>
                <w:rFonts w:hint="default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/>
                <w:color w:val="auto"/>
                <w:sz w:val="20"/>
                <w:szCs w:val="20"/>
                <w:lang w:val="pl-PL"/>
              </w:rPr>
              <w:t>21</w:t>
            </w:r>
            <w:r>
              <w:rPr>
                <w:color w:val="auto"/>
                <w:sz w:val="20"/>
                <w:szCs w:val="20"/>
              </w:rPr>
              <w:t>.</w:t>
            </w:r>
            <w:r>
              <w:rPr>
                <w:rFonts w:hint="default"/>
                <w:color w:val="auto"/>
                <w:sz w:val="20"/>
                <w:szCs w:val="20"/>
                <w:lang w:val="pl-PL"/>
              </w:rPr>
              <w:t>08</w:t>
            </w:r>
            <w:r>
              <w:rPr>
                <w:color w:val="auto"/>
                <w:sz w:val="20"/>
                <w:szCs w:val="20"/>
              </w:rPr>
              <w:t>.202</w:t>
            </w:r>
            <w:r>
              <w:rPr>
                <w:rFonts w:hint="default"/>
                <w:color w:val="auto"/>
                <w:sz w:val="20"/>
                <w:szCs w:val="20"/>
                <w:lang w:val="pl-PL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rFonts w:hint="default"/>
                <w:color w:val="auto"/>
                <w:sz w:val="20"/>
                <w:szCs w:val="20"/>
                <w:lang w:val="pl-PL"/>
              </w:rPr>
              <w:t>Proszówki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8" w:type="dxa"/>
            <w:gridSpan w:val="2"/>
            <w:vMerge w:val="continue"/>
            <w:shd w:val="clear" w:color="auto" w:fill="auto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28"/>
              <w:spacing w:line="3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Data, Miejscowość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7" w:type="dxa"/>
          <w:trHeight w:val="1346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Nazwa, adres</w:t>
            </w:r>
          </w:p>
          <w:p>
            <w:pP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Zakład Przetwórstwa mięsnego Henryk Kołdras </w:t>
            </w:r>
          </w:p>
          <w:p>
            <w:pP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Proszówki 308, 32-700 Bochnia </w:t>
            </w: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NIP:</w:t>
            </w:r>
            <w:r>
              <w:rPr>
                <w:color w:val="auto"/>
                <w:sz w:val="20"/>
                <w:szCs w:val="20"/>
              </w:rPr>
              <w:t xml:space="preserve"> 8680002656</w:t>
            </w:r>
          </w:p>
          <w:p>
            <w:pPr>
              <w:pStyle w:val="28"/>
              <w:spacing w:line="300" w:lineRule="exac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504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5" w:type="dxa"/>
            <w:gridSpan w:val="3"/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Dane identyfikacyjne zamawiającego</w:t>
            </w: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Zapytanie ofertowe</w:t>
            </w: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12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Zwracamy się z prośbą o przedstawienie ofert na: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>Komora pakiernicza I- wózkowa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a) Opis przedmiotu zamówienia (charakterystyka techniczna)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8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  <w:t>- ogrzewanie urządzenia: gaz ziemny,</w:t>
            </w:r>
            <w:r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  <w:br w:type="textWrapping"/>
            </w:r>
            <w:r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  <w:t>- pojemność urządzenia: jeden standardowy wózek piekarniczy o wymiarach 1000 x 1000 x 2000 mm z ośmioma poziomami,</w:t>
            </w:r>
            <w:r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  <w:br w:type="textWrapping"/>
            </w:r>
            <w:r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  <w:t>- konstrukcja stalowa urządzenia w całości wykonana ze stali nierdzewnej gatunku AISI 304,</w:t>
            </w:r>
            <w:r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  <w:br w:type="textWrapping"/>
            </w:r>
            <w:r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  <w:t>- urządzenie wyposażone w układ dozowania pary niskiego ciśnienia do parzenia z wykorzystaniem odbojnicy wózków wędzarniczych,</w:t>
            </w:r>
            <w:r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  <w:br w:type="textWrapping"/>
            </w:r>
            <w:r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  <w:t>- urządzenie wyposażone w mikroprocesorowy sterownik z panelem dotykowym z możliwością rejestracji i archiwizacji danych procesowych,</w:t>
            </w:r>
            <w:r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  <w:br w:type="textWrapping"/>
            </w:r>
            <w:r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  <w:t>- urządzenie wyposażone w automatyczny system mycia,</w:t>
            </w:r>
          </w:p>
          <w:p>
            <w:pPr>
              <w:pStyle w:val="28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hint="default" w:cs="Times New Roman"/>
                <w:kern w:val="0"/>
                <w:sz w:val="20"/>
                <w:szCs w:val="20"/>
                <w:lang w:val="pl-PL" w:eastAsia="en-US" w:bidi="ar-SA"/>
              </w:rPr>
              <w:t>- - na wyposażeniu urządzenia wymagane:</w:t>
            </w:r>
            <w:r>
              <w:rPr>
                <w:rFonts w:hint="default" w:cs="Times New Roman"/>
                <w:kern w:val="0"/>
                <w:sz w:val="20"/>
                <w:szCs w:val="20"/>
                <w:lang w:val="pl-PL" w:eastAsia="en-US" w:bidi="ar-SA"/>
              </w:rPr>
              <w:br w:type="textWrapping"/>
            </w:r>
            <w:r>
              <w:rPr>
                <w:rFonts w:hint="default" w:cs="Times New Roman"/>
                <w:kern w:val="0"/>
                <w:sz w:val="20"/>
                <w:szCs w:val="20"/>
                <w:lang w:val="pl-PL" w:eastAsia="en-US" w:bidi="ar-SA"/>
              </w:rPr>
              <w:t>a) standardowy wózek piekarniczy 8-poziomowy o wym. 1000 x 1000 x 2000 mm – 1 szt.,</w:t>
            </w:r>
            <w:r>
              <w:rPr>
                <w:rFonts w:hint="default" w:cs="Times New Roman"/>
                <w:kern w:val="0"/>
                <w:sz w:val="20"/>
                <w:szCs w:val="20"/>
                <w:lang w:val="pl-PL" w:eastAsia="en-US" w:bidi="ar-SA"/>
              </w:rPr>
              <w:br w:type="textWrapping"/>
            </w:r>
            <w:r>
              <w:rPr>
                <w:rFonts w:hint="default" w:cs="Times New Roman"/>
                <w:kern w:val="0"/>
                <w:sz w:val="20"/>
                <w:szCs w:val="20"/>
                <w:lang w:val="pl-PL" w:eastAsia="en-US" w:bidi="ar-SA"/>
              </w:rPr>
              <w:t>b) siatka piekarnicza – 8 szt.,</w:t>
            </w:r>
          </w:p>
          <w:p>
            <w:pPr>
              <w:pStyle w:val="28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Projekt ma być realizowany przy współfinansowaniu ze środków Inwestycji A 1.4.1 Krajowego Planu Odbudowy i Zwiększania Odporności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2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b) Warunki udziału w postępowaniu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8"/>
              <w:numPr>
                <w:ilvl w:val="0"/>
                <w:numId w:val="2"/>
              </w:numPr>
              <w:spacing w:line="360" w:lineRule="auto"/>
              <w:jc w:val="both"/>
              <w:rPr>
                <w:color w:val="auto"/>
                <w:sz w:val="20"/>
                <w:szCs w:val="20"/>
                <w:highlight w:val="none"/>
                <w:u w:val="single"/>
              </w:rPr>
            </w:pPr>
            <w:r>
              <w:rPr>
                <w:color w:val="auto"/>
                <w:sz w:val="20"/>
                <w:szCs w:val="20"/>
                <w:highlight w:val="none"/>
                <w:u w:val="single"/>
              </w:rPr>
              <w:t>W postępowaniu mogą brać udział jedynie potencjalni wykonawcy, którzy w ostatnich 3 latach dostarczyli, zamontowali i uruchomili przynajmniej jedno urządzenie tożsame lub podobne co do rodzaju z przedmiotem zamówienia określonym w punkcie a). Ocena spełnienia tego warunku zostanie dokonana na podstawie przedstawionej listy referencyjnej</w:t>
            </w:r>
          </w:p>
          <w:p>
            <w:pPr>
              <w:pStyle w:val="28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 Ocena spełnienia tego warunku zostanie dokonana na podstawie przedstawionego oświadczenia </w:t>
            </w:r>
            <w:r>
              <w:rPr>
                <w:sz w:val="20"/>
                <w:szCs w:val="20"/>
              </w:rPr>
              <w:t>o treści:</w:t>
            </w:r>
          </w:p>
          <w:p>
            <w:pPr>
              <w:pStyle w:val="28"/>
              <w:spacing w:line="276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835).”</w:t>
            </w:r>
          </w:p>
        </w:tc>
      </w:tr>
    </w:tbl>
    <w:p/>
    <w:tbl>
      <w:tblPr>
        <w:tblStyle w:val="4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5"/>
        <w:gridCol w:w="1417"/>
        <w:gridCol w:w="908"/>
        <w:gridCol w:w="14"/>
        <w:gridCol w:w="1760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8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c) Kryteria oceny ofert – wybór najkorzystniejszej oferty nastąpi w oparciu o następujące kryteria: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8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Cena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Okres gwarancji (wyrażony w miesiącach)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88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</w:pPr>
            <w:r>
              <w:br w:type="page"/>
            </w: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d) Opis sposobu przyznawania punktacji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 xml:space="preserve">Punktacja w ramach kryterium ceny przyznawana będzie jako iloraz wartości najtańszej otrzymanej oferty i wartości danej oferty, pomnożony przez wagę tego kryterium. Sposób wyliczenia wg wzoru: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PKTc = (cena min/cena oferty) * 70 pkt, gdzie: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PKTc – ilość punktów uzyskanych za kryterium cena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cena min – cena najtańszej oferty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cena oferty – cena danej oferty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 xml:space="preserve">Punktacja w ramach kryterium okresu gwarancji przyznawana będzie jako iloraz okresu gwarancji z danej oferty i najdłuższego okresu gwarancji z otrzymanych ofert, pomnożony przez wagę tego kryterium. Sposób wyliczenia wg wzoru: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PKTg = (gwarancja oferty/gwarancja max) * 30 pkt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gdzie: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PKTg – ilość punktów uzyskanych za kryterium okres gwarancji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gwarancja oferty – okres gwarancji z danej oferty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gwarancja max – najdłuższy okres gwarancji z otrzymanych ofert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Wygrywa oferta która zdobędzie największą ilość punktów.</w:t>
            </w:r>
          </w:p>
          <w:p>
            <w:pPr>
              <w:pStyle w:val="28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W przypadku kiedy dwie lub więcej ofert uzyskają tę samą liczbę punktów, wyżej w rankingu będzie ten podmiot który wskazał niższą cenę, następnie ten, który wskazał dłuższy okres gwarancji, następnie ten, który wskazał większą liczbę wykonanych zadań określonych w punkcie b).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889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e) Informacja na temat zakresu wykluczenia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98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Odrzuceniu podlegają oferty: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których treść nie odpowiada treści zapytania ofertowego,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złożone przez oferenta, który nie spełnia warunków, określonych w zapytaniu ofertowym,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które zostały złożone po wyznaczonym terminie na składanie ofert,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złożone przez oferenta podlegającego wykluczeniu w związku z istnieniem powiązań osobowych lub kapitałowych.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Z udziału w postępowaniu wyklucza się Oferentów powiązanych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1) uczestniczeniu w spółce jako wspólnik spółki cywilnej lub spółki osobowej,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2) posiadaniu co najmniej 10 % udziałów lub akcji,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3) pełnieniu funkcji członka organu nadzorczego lub zarządzającego, prokurenta, pełnomocnika,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4) pozostawaniu w związku małżeńskim, w stosunku pokrewieństwa lub powinowactwa w linii prostej,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5) pozostawaniu z wykonawcą w takim stosunku prawnym lub faktycznym, że może to budzić uzasadnione wątpliwości, co do bezstronności tych osób.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9889" w:type="dxa"/>
            <w:gridSpan w:val="7"/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8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f) Termin składania ofert upływa w dniu: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jc w:val="center"/>
              <w:rPr>
                <w:rFonts w:hint="default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/>
                <w:color w:val="auto"/>
                <w:sz w:val="20"/>
                <w:szCs w:val="20"/>
                <w:lang w:val="pl-PL"/>
              </w:rPr>
              <w:t>30</w:t>
            </w:r>
            <w:bookmarkStart w:id="0" w:name="_GoBack"/>
            <w:bookmarkEnd w:id="0"/>
            <w:r>
              <w:rPr>
                <w:rFonts w:hint="default"/>
                <w:color w:val="auto"/>
                <w:sz w:val="20"/>
                <w:szCs w:val="20"/>
                <w:lang w:val="pl-PL"/>
              </w:rPr>
              <w:t>.09.2023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9889" w:type="dxa"/>
            <w:gridSpan w:val="7"/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g) Termin realizacji zamówienia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0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Ostateczny możliwy do zaakceptowania termin realizacji zamówienia upływa w dniu: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jc w:val="center"/>
              <w:rPr>
                <w:rFonts w:hint="default"/>
                <w:color w:val="auto"/>
                <w:sz w:val="20"/>
                <w:szCs w:val="20"/>
                <w:highlight w:val="yellow"/>
                <w:lang w:val="pl-PL"/>
              </w:rPr>
            </w:pPr>
            <w:r>
              <w:rPr>
                <w:rFonts w:hint="default"/>
                <w:color w:val="auto"/>
                <w:sz w:val="20"/>
                <w:szCs w:val="20"/>
                <w:highlight w:val="yellow"/>
                <w:lang w:val="pl-PL"/>
              </w:rPr>
              <w:t>30.05.2024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auto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auto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77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h) Ofertę należy złożyć w: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  <w:t>Nazwa, adres:</w:t>
            </w:r>
          </w:p>
          <w:p>
            <w:pP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Zakład Przetwórstwa mięsnego Henryk Kołdras </w:t>
            </w:r>
          </w:p>
          <w:p>
            <w:pP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Proszówki 308, 32-700 Bochnia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Adres mailowy: </w:t>
            </w:r>
          </w:p>
          <w:p>
            <w:pPr>
              <w:pStyle w:val="28"/>
              <w:spacing w:line="300" w:lineRule="exact"/>
              <w:rPr>
                <w:rFonts w:eastAsiaTheme="minorHAnsi"/>
                <w:color w:val="auto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"mailto:infofruitjk@idsl.pl" </w:instrText>
            </w:r>
            <w:r>
              <w:fldChar w:fldCharType="separate"/>
            </w:r>
            <w:r>
              <w:rPr>
                <w:rFonts w:eastAsiaTheme="minorHAnsi"/>
                <w:color w:val="auto"/>
                <w:sz w:val="20"/>
                <w:szCs w:val="20"/>
              </w:rPr>
              <w:t>michalkoldras@gmail.com</w:t>
            </w:r>
            <w:r>
              <w:rPr>
                <w:rFonts w:eastAsiaTheme="minorHAnsi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77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i) Akceptowalne formy składania ofert:</w:t>
            </w: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Poczta elektroniczna na adres: </w:t>
            </w:r>
            <w:r>
              <w:rPr>
                <w:b/>
                <w:bCs/>
              </w:rPr>
              <w:t xml:space="preserve">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fldChar w:fldCharType="begin"/>
            </w:r>
            <w:r>
              <w:instrText xml:space="preserve"> HYPERLINK "mailto:michalkoldras@gmail.com" </w:instrText>
            </w:r>
            <w:r>
              <w:fldChar w:fldCharType="separate"/>
            </w: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michalkoldras@gmail.com</w:t>
            </w: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fldChar w:fldCharType="end"/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  <w:t>List polecony, przesyłka kurierska, osobiście pod adres: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Proszówki 308,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32-700 Bochnia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9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j) Złożona oferta powinna zawierać co najmniej: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</w:trPr>
        <w:tc>
          <w:tcPr>
            <w:tcW w:w="98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 xml:space="preserve">- dane identyfikujące oferenta (nazwę i adres),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 xml:space="preserve">- opis nawiązujący do parametrów wyszczególnionych w zapytaniu ofertowym (opis przedmiotu zamówienia),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 xml:space="preserve">- wartość oferty netto oraz brutto,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- termin realizacji zamówienia,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- okres gwarancji (wyrażony w miesiącach),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- warunki płatności,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highlight w:val="yellow"/>
                <w:lang w:eastAsia="en-US" w:bidi="ar-SA"/>
              </w:rPr>
              <w:t>- listę referencyjną z wykonania tożsamych lub podobnych prac, co do rodzaju przedmiotu zamówienia w ostatnich 3 latach,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- oświadczenie o niepodleganiu wykluczeniu z postępowania na podstawie art. 7 ust. 1 ustawy z dnia 13 kwietnia 2022 r. o szczególnych rozwiązaniach w zakresie przeciwdziałania wspieraniu agresji na Ukrainę oraz służących ochronie bezpieczeństwa narodowego (Dz. U. poz. 835)</w:t>
            </w:r>
          </w:p>
          <w:p>
            <w:pPr>
              <w:pStyle w:val="28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- termin ważności oferty.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auto"/>
          </w:tcPr>
          <w:p>
            <w:pPr>
              <w:pStyle w:val="28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after="120" w:line="30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Oferty powinny zawierać dane identyfikujące oferenta, tj. zawierać pełną nazwę wystawcy oferty (np. zostać opatrzone pieczęcią imienną/nagłówkową). Oferty muszą również zawierać datę sporządzenia dokumentu oraz podpis oferenta lub osoby uprawnionej do występowania w jego imieniu. W przypadku wersji elektronicznej za wystarczające uważa się podanie imienia i nazwiska osoby występującej w imieniu oferenta (sporządzającej ofertę). Za datę sporządzenia dokumentu – uznaje się datę wysłania oferty drogą elektroniczną.</w:t>
            </w:r>
          </w:p>
          <w:p>
            <w:pPr>
              <w:pStyle w:val="28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Przedkładane oferty muszą odpowiadać treści zapytania ofertowego. Ponadto oferta powinna zawierać inne dodatkowe informacje, np. możliwe do uzyskania upusty, wymagania dotyczące konserwacji, itp.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auto"/>
          </w:tcPr>
          <w:p>
            <w:pPr>
              <w:pStyle w:val="28"/>
              <w:spacing w:after="120" w:line="30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k) Niedopuszczalne jest składanie ofert częściowych</w:t>
            </w:r>
          </w:p>
          <w:p>
            <w:pPr>
              <w:pStyle w:val="28"/>
              <w:spacing w:after="120" w:line="300" w:lineRule="exact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l) </w:t>
            </w:r>
            <w:r>
              <w:rPr>
                <w:sz w:val="20"/>
                <w:szCs w:val="20"/>
              </w:rPr>
              <w:t>W przypadku konieczności wykonania innych prac wykraczających poza zakres zamówienia podstawowego, których konieczność wykonania pojawiła się w trakcie realizacji robót, a ich wykonanie jest niezbędne do prawidłowego wykonania zamówienia podstawowego inwestor przewiduje możliwość zawarcia stosownego aneksu do umowy z wykonawcą.</w:t>
            </w:r>
          </w:p>
          <w:p>
            <w:pPr>
              <w:pStyle w:val="28"/>
              <w:spacing w:after="120" w:line="30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 przypadku wystąpienia nieprzewidzianych czynników np. złych warunków atmosferycznych, awarii lub innych okoliczności, mających bezpośredni wpływ na terminowość wykonywania przedmiotu umowy, których strony umowy nie były w stanie przewidzieć na etapie jej podpisywania, Zamawiający przewiduje możliwość zawarcia stosowanego aneksu lub porozumienia do umowy z wykonawcą.</w:t>
            </w:r>
          </w:p>
          <w:p>
            <w:pPr>
              <w:pStyle w:val="28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m) Rozstrzygnięcie postępowania ofertowego</w:t>
            </w:r>
          </w:p>
          <w:p>
            <w:pPr>
              <w:pStyle w:val="28"/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wyniku postępowania zostanie opublikowana na stronie internetowej Zamawiającego.</w:t>
            </w:r>
          </w:p>
          <w:p>
            <w:pPr>
              <w:pStyle w:val="28"/>
              <w:spacing w:line="300" w:lineRule="exac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Zamawiający zastrzega sobie prawo do unieważnienia przetargu w dowolnym momencie bez podania przyczyny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36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</w:tbl>
    <w:p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18"/>
          <w:szCs w:val="18"/>
        </w:rPr>
        <w:t>(czytelny podpis Zamawiającego/osoby upoważnionej)</w:t>
      </w:r>
    </w:p>
    <w:sectPr>
      <w:footerReference r:id="rId3" w:type="default"/>
      <w:pgSz w:w="11906" w:h="16838"/>
      <w:pgMar w:top="1417" w:right="1417" w:bottom="1417" w:left="1417" w:header="1134" w:footer="1134" w:gutter="0"/>
      <w:cols w:space="708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040095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7D905B0D"/>
    <w:multiLevelType w:val="multilevel"/>
    <w:tmpl w:val="7D905B0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38"/>
    <w:rsid w:val="0000495F"/>
    <w:rsid w:val="000120B8"/>
    <w:rsid w:val="00016727"/>
    <w:rsid w:val="00023309"/>
    <w:rsid w:val="00052BD9"/>
    <w:rsid w:val="00052E23"/>
    <w:rsid w:val="00062FAB"/>
    <w:rsid w:val="0007599D"/>
    <w:rsid w:val="00085514"/>
    <w:rsid w:val="000A2688"/>
    <w:rsid w:val="000C699D"/>
    <w:rsid w:val="000D406A"/>
    <w:rsid w:val="000E3E9B"/>
    <w:rsid w:val="000E587D"/>
    <w:rsid w:val="00116B86"/>
    <w:rsid w:val="00121867"/>
    <w:rsid w:val="001252D4"/>
    <w:rsid w:val="00132135"/>
    <w:rsid w:val="0013481C"/>
    <w:rsid w:val="00167242"/>
    <w:rsid w:val="001751BD"/>
    <w:rsid w:val="00190BF2"/>
    <w:rsid w:val="00190E16"/>
    <w:rsid w:val="001D7742"/>
    <w:rsid w:val="001E1753"/>
    <w:rsid w:val="001E2A12"/>
    <w:rsid w:val="001F441D"/>
    <w:rsid w:val="001F4588"/>
    <w:rsid w:val="001F5A9B"/>
    <w:rsid w:val="00227CE5"/>
    <w:rsid w:val="00230B8A"/>
    <w:rsid w:val="002643CB"/>
    <w:rsid w:val="002672CB"/>
    <w:rsid w:val="002B518C"/>
    <w:rsid w:val="002B6A9B"/>
    <w:rsid w:val="002C6820"/>
    <w:rsid w:val="002D5CA0"/>
    <w:rsid w:val="003015F0"/>
    <w:rsid w:val="00304416"/>
    <w:rsid w:val="00306EC4"/>
    <w:rsid w:val="00327C26"/>
    <w:rsid w:val="00344D1A"/>
    <w:rsid w:val="00362705"/>
    <w:rsid w:val="003636C9"/>
    <w:rsid w:val="00370F78"/>
    <w:rsid w:val="003723F2"/>
    <w:rsid w:val="003749A6"/>
    <w:rsid w:val="00377BC7"/>
    <w:rsid w:val="00383975"/>
    <w:rsid w:val="00387427"/>
    <w:rsid w:val="003A1537"/>
    <w:rsid w:val="003A2138"/>
    <w:rsid w:val="003A6529"/>
    <w:rsid w:val="003D3208"/>
    <w:rsid w:val="003E6230"/>
    <w:rsid w:val="003F5C44"/>
    <w:rsid w:val="00402F65"/>
    <w:rsid w:val="00431D87"/>
    <w:rsid w:val="00450F84"/>
    <w:rsid w:val="00475CD7"/>
    <w:rsid w:val="00477B83"/>
    <w:rsid w:val="004A22E2"/>
    <w:rsid w:val="004C451B"/>
    <w:rsid w:val="004D2210"/>
    <w:rsid w:val="004D4A74"/>
    <w:rsid w:val="004E2A69"/>
    <w:rsid w:val="00500979"/>
    <w:rsid w:val="00503929"/>
    <w:rsid w:val="00504DDC"/>
    <w:rsid w:val="0051614D"/>
    <w:rsid w:val="00536572"/>
    <w:rsid w:val="00536F80"/>
    <w:rsid w:val="00542D32"/>
    <w:rsid w:val="0054449A"/>
    <w:rsid w:val="00545303"/>
    <w:rsid w:val="0055134C"/>
    <w:rsid w:val="0055331B"/>
    <w:rsid w:val="00573C1F"/>
    <w:rsid w:val="00581653"/>
    <w:rsid w:val="005945B3"/>
    <w:rsid w:val="005A1788"/>
    <w:rsid w:val="005B3321"/>
    <w:rsid w:val="005B4841"/>
    <w:rsid w:val="005E13BF"/>
    <w:rsid w:val="005E6A9D"/>
    <w:rsid w:val="005E789F"/>
    <w:rsid w:val="00606AFE"/>
    <w:rsid w:val="0061372F"/>
    <w:rsid w:val="00651FD5"/>
    <w:rsid w:val="00652555"/>
    <w:rsid w:val="00675F9C"/>
    <w:rsid w:val="00696BD6"/>
    <w:rsid w:val="006A51A7"/>
    <w:rsid w:val="006B37B9"/>
    <w:rsid w:val="006C468A"/>
    <w:rsid w:val="006C715C"/>
    <w:rsid w:val="006F0B16"/>
    <w:rsid w:val="006F7DFB"/>
    <w:rsid w:val="00716C69"/>
    <w:rsid w:val="00753342"/>
    <w:rsid w:val="00765B92"/>
    <w:rsid w:val="00794937"/>
    <w:rsid w:val="007A3D6F"/>
    <w:rsid w:val="0082231B"/>
    <w:rsid w:val="00860961"/>
    <w:rsid w:val="008743D0"/>
    <w:rsid w:val="008830A2"/>
    <w:rsid w:val="00897D1B"/>
    <w:rsid w:val="008C2AD5"/>
    <w:rsid w:val="008E38F6"/>
    <w:rsid w:val="008F299A"/>
    <w:rsid w:val="00920442"/>
    <w:rsid w:val="00946053"/>
    <w:rsid w:val="00956009"/>
    <w:rsid w:val="00977F2E"/>
    <w:rsid w:val="00983D24"/>
    <w:rsid w:val="00983E2E"/>
    <w:rsid w:val="009B79FE"/>
    <w:rsid w:val="009D29ED"/>
    <w:rsid w:val="009D7732"/>
    <w:rsid w:val="009E32BE"/>
    <w:rsid w:val="009E354B"/>
    <w:rsid w:val="00A0381B"/>
    <w:rsid w:val="00A12D8B"/>
    <w:rsid w:val="00A1591C"/>
    <w:rsid w:val="00A23773"/>
    <w:rsid w:val="00A551DB"/>
    <w:rsid w:val="00A6204D"/>
    <w:rsid w:val="00A6528E"/>
    <w:rsid w:val="00A667AE"/>
    <w:rsid w:val="00A72774"/>
    <w:rsid w:val="00AC5A50"/>
    <w:rsid w:val="00AC6768"/>
    <w:rsid w:val="00AE4C3C"/>
    <w:rsid w:val="00AE53E2"/>
    <w:rsid w:val="00B03922"/>
    <w:rsid w:val="00B03E42"/>
    <w:rsid w:val="00B13111"/>
    <w:rsid w:val="00B20D1F"/>
    <w:rsid w:val="00B237B6"/>
    <w:rsid w:val="00B33A48"/>
    <w:rsid w:val="00B65DBE"/>
    <w:rsid w:val="00B74856"/>
    <w:rsid w:val="00B7495C"/>
    <w:rsid w:val="00B85873"/>
    <w:rsid w:val="00BB3642"/>
    <w:rsid w:val="00BB4743"/>
    <w:rsid w:val="00BD0E63"/>
    <w:rsid w:val="00BE307C"/>
    <w:rsid w:val="00BE4DAD"/>
    <w:rsid w:val="00BF2994"/>
    <w:rsid w:val="00C00575"/>
    <w:rsid w:val="00C15424"/>
    <w:rsid w:val="00C15F49"/>
    <w:rsid w:val="00C2642B"/>
    <w:rsid w:val="00C40EB1"/>
    <w:rsid w:val="00C73EE4"/>
    <w:rsid w:val="00C74A21"/>
    <w:rsid w:val="00C7779B"/>
    <w:rsid w:val="00CA343F"/>
    <w:rsid w:val="00CD70FC"/>
    <w:rsid w:val="00CF5D73"/>
    <w:rsid w:val="00D201C2"/>
    <w:rsid w:val="00D32E48"/>
    <w:rsid w:val="00D342BD"/>
    <w:rsid w:val="00D35887"/>
    <w:rsid w:val="00D42414"/>
    <w:rsid w:val="00D5277F"/>
    <w:rsid w:val="00D844C1"/>
    <w:rsid w:val="00D863F5"/>
    <w:rsid w:val="00DE2308"/>
    <w:rsid w:val="00DE5134"/>
    <w:rsid w:val="00E05917"/>
    <w:rsid w:val="00E05D40"/>
    <w:rsid w:val="00E07EC4"/>
    <w:rsid w:val="00E12C91"/>
    <w:rsid w:val="00E1477D"/>
    <w:rsid w:val="00E21FB5"/>
    <w:rsid w:val="00E34619"/>
    <w:rsid w:val="00E36CE2"/>
    <w:rsid w:val="00E47EDC"/>
    <w:rsid w:val="00E573D0"/>
    <w:rsid w:val="00E57F36"/>
    <w:rsid w:val="00E80CB3"/>
    <w:rsid w:val="00E845CA"/>
    <w:rsid w:val="00E87780"/>
    <w:rsid w:val="00E87CCB"/>
    <w:rsid w:val="00E96DB4"/>
    <w:rsid w:val="00EA389E"/>
    <w:rsid w:val="00EB22C1"/>
    <w:rsid w:val="00EC4CB1"/>
    <w:rsid w:val="00EE3557"/>
    <w:rsid w:val="00EE6118"/>
    <w:rsid w:val="00EF5C0F"/>
    <w:rsid w:val="00F21059"/>
    <w:rsid w:val="00F272DA"/>
    <w:rsid w:val="00F32572"/>
    <w:rsid w:val="00F32EAF"/>
    <w:rsid w:val="00F437AA"/>
    <w:rsid w:val="00F62027"/>
    <w:rsid w:val="00F6423A"/>
    <w:rsid w:val="00F828C2"/>
    <w:rsid w:val="00FB016B"/>
    <w:rsid w:val="00FB0590"/>
    <w:rsid w:val="00FC2BB9"/>
    <w:rsid w:val="00FC3D6A"/>
    <w:rsid w:val="00FF6D89"/>
    <w:rsid w:val="051F7A9A"/>
    <w:rsid w:val="0FF3711D"/>
    <w:rsid w:val="10FB6F5E"/>
    <w:rsid w:val="1B9F602A"/>
    <w:rsid w:val="2BCF1016"/>
    <w:rsid w:val="2C252206"/>
    <w:rsid w:val="2D525DEF"/>
    <w:rsid w:val="2F09266B"/>
    <w:rsid w:val="62EC5B91"/>
    <w:rsid w:val="657D195B"/>
    <w:rsid w:val="727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4"/>
      <w:lang w:val="pl-PL" w:eastAsia="hi-I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line="360" w:lineRule="auto"/>
      <w:ind w:left="709" w:hanging="1"/>
      <w:jc w:val="both"/>
    </w:pPr>
    <w:rPr>
      <w:szCs w:val="20"/>
    </w:rPr>
  </w:style>
  <w:style w:type="paragraph" w:styleId="7">
    <w:name w:val="footer"/>
    <w:basedOn w:val="1"/>
    <w:link w:val="31"/>
    <w:qFormat/>
    <w:uiPriority w:val="99"/>
    <w:pPr>
      <w:suppressLineNumbers/>
      <w:tabs>
        <w:tab w:val="center" w:pos="4819"/>
        <w:tab w:val="right" w:pos="9638"/>
      </w:tabs>
    </w:pPr>
  </w:style>
  <w:style w:type="paragraph" w:styleId="8">
    <w:name w:val="head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styleId="10">
    <w:name w:val="List"/>
    <w:basedOn w:val="5"/>
    <w:qFormat/>
    <w:uiPriority w:val="0"/>
  </w:style>
  <w:style w:type="paragraph" w:styleId="11">
    <w:name w:val="Plain Text"/>
    <w:basedOn w:val="1"/>
    <w:link w:val="29"/>
    <w:unhideWhenUsed/>
    <w:qFormat/>
    <w:uiPriority w:val="99"/>
    <w:pPr>
      <w:widowControl/>
      <w:suppressAutoHyphens w:val="0"/>
    </w:pPr>
    <w:rPr>
      <w:rFonts w:ascii="Calibri" w:hAnsi="Calibri" w:eastAsia="Calibri" w:cs="Times New Roman"/>
      <w:kern w:val="0"/>
      <w:sz w:val="22"/>
      <w:szCs w:val="21"/>
      <w:lang w:eastAsia="en-US" w:bidi="ar-SA"/>
    </w:rPr>
  </w:style>
  <w:style w:type="table" w:styleId="12">
    <w:name w:val="Table Grid"/>
    <w:basedOn w:val="4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WW8Num1z0"/>
    <w:qFormat/>
    <w:uiPriority w:val="0"/>
  </w:style>
  <w:style w:type="character" w:customStyle="1" w:styleId="14">
    <w:name w:val="WW8Num1z1"/>
    <w:qFormat/>
    <w:uiPriority w:val="0"/>
  </w:style>
  <w:style w:type="character" w:customStyle="1" w:styleId="15">
    <w:name w:val="WW8Num1z2"/>
    <w:uiPriority w:val="0"/>
  </w:style>
  <w:style w:type="character" w:customStyle="1" w:styleId="16">
    <w:name w:val="WW8Num1z3"/>
    <w:qFormat/>
    <w:uiPriority w:val="0"/>
  </w:style>
  <w:style w:type="character" w:customStyle="1" w:styleId="17">
    <w:name w:val="WW8Num1z4"/>
    <w:qFormat/>
    <w:uiPriority w:val="0"/>
  </w:style>
  <w:style w:type="character" w:customStyle="1" w:styleId="18">
    <w:name w:val="WW8Num1z5"/>
    <w:qFormat/>
    <w:uiPriority w:val="0"/>
  </w:style>
  <w:style w:type="character" w:customStyle="1" w:styleId="19">
    <w:name w:val="WW8Num1z6"/>
    <w:qFormat/>
    <w:uiPriority w:val="0"/>
  </w:style>
  <w:style w:type="character" w:customStyle="1" w:styleId="20">
    <w:name w:val="WW8Num1z7"/>
    <w:qFormat/>
    <w:uiPriority w:val="0"/>
  </w:style>
  <w:style w:type="character" w:customStyle="1" w:styleId="21">
    <w:name w:val="WW8Num1z8"/>
    <w:qFormat/>
    <w:uiPriority w:val="0"/>
  </w:style>
  <w:style w:type="character" w:customStyle="1" w:styleId="22">
    <w:name w:val="WW8Num2z0"/>
    <w:uiPriority w:val="0"/>
    <w:rPr>
      <w:rFonts w:ascii="Times New Roman" w:hAnsi="Times New Roman" w:cs="Times New Roman"/>
      <w:b/>
      <w:bCs/>
      <w:color w:val="0D0D0D"/>
      <w:sz w:val="24"/>
      <w:szCs w:val="20"/>
    </w:rPr>
  </w:style>
  <w:style w:type="character" w:customStyle="1" w:styleId="23">
    <w:name w:val="Znaki numeracji"/>
    <w:uiPriority w:val="0"/>
  </w:style>
  <w:style w:type="paragraph" w:customStyle="1" w:styleId="24">
    <w:name w:val="Nagłówek1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25">
    <w:name w:val="Podpis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26">
    <w:name w:val="Indeks"/>
    <w:basedOn w:val="1"/>
    <w:qFormat/>
    <w:uiPriority w:val="0"/>
    <w:pPr>
      <w:suppressLineNumbers/>
    </w:pPr>
  </w:style>
  <w:style w:type="paragraph" w:customStyle="1" w:styleId="27">
    <w:name w:val="Tekst podstawowy wcięty 21"/>
    <w:basedOn w:val="1"/>
    <w:qFormat/>
    <w:uiPriority w:val="0"/>
    <w:pPr>
      <w:spacing w:after="120" w:line="480" w:lineRule="auto"/>
      <w:ind w:left="283"/>
    </w:pPr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pl-PL" w:eastAsia="en-US" w:bidi="ar-SA"/>
    </w:rPr>
  </w:style>
  <w:style w:type="character" w:customStyle="1" w:styleId="29">
    <w:name w:val="Zwykły tekst Znak"/>
    <w:link w:val="11"/>
    <w:qFormat/>
    <w:uiPriority w:val="99"/>
    <w:rPr>
      <w:rFonts w:ascii="Calibri" w:hAnsi="Calibri" w:eastAsia="Calibri"/>
      <w:sz w:val="22"/>
      <w:szCs w:val="21"/>
      <w:lang w:eastAsia="en-US"/>
    </w:rPr>
  </w:style>
  <w:style w:type="character" w:customStyle="1" w:styleId="30">
    <w:name w:val="Cytat1"/>
    <w:basedOn w:val="3"/>
    <w:qFormat/>
    <w:uiPriority w:val="0"/>
  </w:style>
  <w:style w:type="character" w:customStyle="1" w:styleId="31">
    <w:name w:val="Stopka Znak"/>
    <w:basedOn w:val="3"/>
    <w:link w:val="7"/>
    <w:qFormat/>
    <w:uiPriority w:val="9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3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D503-C84A-44DB-8627-3B1555FFC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Mars Inc</Company>
  <Pages>4</Pages>
  <Words>962</Words>
  <Characters>6323</Characters>
  <Lines>52</Lines>
  <Paragraphs>14</Paragraphs>
  <TotalTime>150</TotalTime>
  <ScaleCrop>false</ScaleCrop>
  <LinksUpToDate>false</LinksUpToDate>
  <CharactersWithSpaces>7238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2022-12-19T11:18:00Z</dcterms:created>
  <dc:creator>Zakowska, Grazyna</dc:creator>
  <cp:lastModifiedBy>Magdalena Kołdras</cp:lastModifiedBy>
  <cp:lastPrinted>2023-07-05T12:47:00Z</cp:lastPrinted>
  <dcterms:modified xsi:type="dcterms:W3CDTF">2023-09-25T04:40:01Z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9A3A395817DD40039D86328B63B953A3</vt:lpwstr>
  </property>
</Properties>
</file>